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B1" w:rsidRPr="00262BF5" w:rsidRDefault="009953B1" w:rsidP="009953B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62BF5">
        <w:rPr>
          <w:rFonts w:ascii="Times New Roman" w:hAnsi="Times New Roman" w:cs="Times New Roman"/>
          <w:b/>
          <w:sz w:val="44"/>
          <w:szCs w:val="44"/>
        </w:rPr>
        <w:t>Tájékoztató</w:t>
      </w:r>
    </w:p>
    <w:p w:rsidR="00193B38" w:rsidRPr="00262BF5" w:rsidRDefault="007C3761" w:rsidP="00995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2BF5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262BF5">
        <w:rPr>
          <w:rFonts w:ascii="Times New Roman" w:hAnsi="Times New Roman" w:cs="Times New Roman"/>
          <w:b/>
          <w:sz w:val="28"/>
          <w:szCs w:val="28"/>
        </w:rPr>
        <w:t xml:space="preserve"> Vidékfejlesztési Program 2014-20 keretében </w:t>
      </w:r>
      <w:r w:rsidR="00262BF5">
        <w:rPr>
          <w:rFonts w:ascii="Times New Roman" w:hAnsi="Times New Roman" w:cs="Times New Roman"/>
          <w:b/>
          <w:sz w:val="28"/>
          <w:szCs w:val="28"/>
        </w:rPr>
        <w:br/>
      </w:r>
      <w:r w:rsidR="00BB779B">
        <w:rPr>
          <w:rFonts w:ascii="Times New Roman" w:hAnsi="Times New Roman" w:cs="Times New Roman"/>
          <w:b/>
          <w:sz w:val="28"/>
          <w:szCs w:val="28"/>
        </w:rPr>
        <w:t>2016-ban tervezett pályázati kiírásokról</w:t>
      </w:r>
    </w:p>
    <w:p w:rsidR="007C3761" w:rsidRPr="00262BF5" w:rsidRDefault="007C3761" w:rsidP="007C376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2BF5">
        <w:rPr>
          <w:rFonts w:ascii="Times New Roman" w:hAnsi="Times New Roman" w:cs="Times New Roman"/>
          <w:sz w:val="24"/>
          <w:szCs w:val="24"/>
        </w:rPr>
        <w:t>A Magyar Közlöny 2016. évi 8. számában megjelent a Kormány 1012/2016. (I.20.) Kormányhatározata, mely az összes idei tervezett kiírást tartalmazza a Vidékfejlesztési Program keretében.</w:t>
      </w:r>
    </w:p>
    <w:p w:rsidR="009953B1" w:rsidRPr="00262BF5" w:rsidRDefault="009953B1" w:rsidP="009953B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953B1" w:rsidRPr="00262BF5" w:rsidRDefault="007C3761" w:rsidP="009953B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2BF5">
        <w:rPr>
          <w:rFonts w:ascii="Times New Roman" w:hAnsi="Times New Roman" w:cs="Times New Roman"/>
          <w:sz w:val="24"/>
          <w:szCs w:val="24"/>
        </w:rPr>
        <w:t>Ezen kiírások túlnyomó többsége egyházi szempontból nem érdekes, többnyire mezőgazdasági, illetve pár esetben önkormányzatokat, illetve tanyán élő magánszemélyeket támogató vidékfejlesztési jogcímek.</w:t>
      </w:r>
    </w:p>
    <w:p w:rsidR="009953B1" w:rsidRPr="00262BF5" w:rsidRDefault="009953B1" w:rsidP="009953B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235E28" w:rsidRPr="00262BF5" w:rsidRDefault="007C3761" w:rsidP="00235E2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2BF5">
        <w:rPr>
          <w:rFonts w:ascii="Times New Roman" w:hAnsi="Times New Roman" w:cs="Times New Roman"/>
          <w:sz w:val="24"/>
          <w:szCs w:val="24"/>
        </w:rPr>
        <w:t>Amelyek érdekesek lehetnek, a következők:</w:t>
      </w:r>
    </w:p>
    <w:p w:rsidR="009953B1" w:rsidRPr="00262BF5" w:rsidRDefault="009953B1" w:rsidP="009953B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235E28" w:rsidRPr="00262BF5" w:rsidRDefault="007C3761" w:rsidP="00235E2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2BF5">
        <w:rPr>
          <w:rFonts w:ascii="Times New Roman" w:hAnsi="Times New Roman" w:cs="Times New Roman"/>
          <w:sz w:val="24"/>
          <w:szCs w:val="24"/>
        </w:rPr>
        <w:t>VP6-7.4.1.1-16: Településképet meghatározó épületek külső rekonstrukciója, többfunkciós közösségi tér létrehozása, fejlesztése, energetikai korszerűsítés. Ez a jogcím jelen határozat szerint januárban kerül kiírásra.</w:t>
      </w:r>
    </w:p>
    <w:p w:rsidR="00235E28" w:rsidRPr="00262BF5" w:rsidRDefault="00235E28" w:rsidP="00235E2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235E28" w:rsidRPr="00262BF5" w:rsidRDefault="007C3761" w:rsidP="00235E2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262BF5">
        <w:rPr>
          <w:rFonts w:ascii="Times New Roman" w:hAnsi="Times New Roman" w:cs="Times New Roman"/>
          <w:sz w:val="24"/>
          <w:szCs w:val="24"/>
        </w:rPr>
        <w:t>Ez már a tavalyi évre tervezett jogcímek között is szerepelt, azonban decemberben nem került kiírásra.</w:t>
      </w:r>
    </w:p>
    <w:p w:rsidR="00235E28" w:rsidRPr="00262BF5" w:rsidRDefault="00235E28" w:rsidP="00235E2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235E28" w:rsidRPr="00262BF5" w:rsidRDefault="007C3761" w:rsidP="00235E2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262BF5">
        <w:rPr>
          <w:rFonts w:ascii="Times New Roman" w:hAnsi="Times New Roman" w:cs="Times New Roman"/>
          <w:sz w:val="24"/>
          <w:szCs w:val="24"/>
        </w:rPr>
        <w:t>Arról hivatalos információ még nem elérhető, hogy konkrétan mire lehet majd pályázni, ugyanis a kódszám és a megn</w:t>
      </w:r>
      <w:r w:rsidR="00235E28" w:rsidRPr="00262BF5">
        <w:rPr>
          <w:rFonts w:ascii="Times New Roman" w:hAnsi="Times New Roman" w:cs="Times New Roman"/>
          <w:sz w:val="24"/>
          <w:szCs w:val="24"/>
        </w:rPr>
        <w:t>evezés továbbra is ellentmondó.</w:t>
      </w:r>
    </w:p>
    <w:p w:rsidR="00235E28" w:rsidRPr="00262BF5" w:rsidRDefault="00235E28" w:rsidP="00235E2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235E28" w:rsidRPr="00262BF5" w:rsidRDefault="007C3761" w:rsidP="00235E2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262BF5">
        <w:rPr>
          <w:rFonts w:ascii="Times New Roman" w:hAnsi="Times New Roman" w:cs="Times New Roman"/>
          <w:sz w:val="24"/>
          <w:szCs w:val="24"/>
        </w:rPr>
        <w:t>A 7.4.1</w:t>
      </w:r>
      <w:r w:rsidR="00235E28" w:rsidRPr="00262BF5">
        <w:rPr>
          <w:rFonts w:ascii="Times New Roman" w:hAnsi="Times New Roman" w:cs="Times New Roman"/>
          <w:sz w:val="24"/>
          <w:szCs w:val="24"/>
        </w:rPr>
        <w:t xml:space="preserve"> kódszám alapján a külső rekonstrukció is kizárólag többfunkciós közösségi terekhez értendő. Ez azt jelenti, hogy kizárólag 1000 fő alatti településeken lehet pályázni, ahol többfunkciós közösségi tér létrehozására még nem pályáztak eredményesen. A többfunkciós közösségi tér üzemeltetése alapvetően elég távol esik az egyházi tevékenységtől, ezt jellemzően önkormányzatok teszik. Ami miatt érdekes lehet, az </w:t>
      </w:r>
      <w:proofErr w:type="spellStart"/>
      <w:r w:rsidR="00235E28" w:rsidRPr="00262BF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235E28" w:rsidRPr="00262BF5">
        <w:rPr>
          <w:rFonts w:ascii="Times New Roman" w:hAnsi="Times New Roman" w:cs="Times New Roman"/>
          <w:sz w:val="24"/>
          <w:szCs w:val="24"/>
        </w:rPr>
        <w:t>, hogy meglévő, használaton kívüli épületet az önkormányzat rendelkezésére lehet bocsátani az 5 éves fenntartási időszak végéig, ezzel megoldódhat ezen épületek állagmegóvása, felújítása. Ilyen példával már találkoztunk, a tapasztalatokból kiindulva arra mindenképpen érdemes odafigyelni, hogy önálló telken álljon. Ha más épülettel is egy telken áll, érdemes a telket megosztatni, mert a fennmaradó épületeket más jogcímekből e miatt kizárhatják!</w:t>
      </w:r>
    </w:p>
    <w:p w:rsidR="007C3761" w:rsidRPr="00262BF5" w:rsidRDefault="00235E28" w:rsidP="00235E2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262BF5">
        <w:rPr>
          <w:rFonts w:ascii="Times New Roman" w:hAnsi="Times New Roman" w:cs="Times New Roman"/>
          <w:sz w:val="24"/>
          <w:szCs w:val="24"/>
        </w:rPr>
        <w:t>A korábbi tájékoztatóban jeleztük, hogy ősszel a LEADER csoportok erről a verzióról kaptak tájékoztatást.</w:t>
      </w:r>
    </w:p>
    <w:p w:rsidR="00235E28" w:rsidRPr="00262BF5" w:rsidRDefault="00235E28" w:rsidP="00235E2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235E28" w:rsidRPr="00262BF5" w:rsidRDefault="00235E28" w:rsidP="00235E2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262BF5">
        <w:rPr>
          <w:rFonts w:ascii="Times New Roman" w:hAnsi="Times New Roman" w:cs="Times New Roman"/>
          <w:sz w:val="24"/>
          <w:szCs w:val="24"/>
        </w:rPr>
        <w:t>Amennyiben (bár ez a kevésbé valószínű</w:t>
      </w:r>
      <w:r w:rsidR="00DB4656" w:rsidRPr="00262BF5">
        <w:rPr>
          <w:rFonts w:ascii="Times New Roman" w:hAnsi="Times New Roman" w:cs="Times New Roman"/>
          <w:sz w:val="24"/>
          <w:szCs w:val="24"/>
        </w:rPr>
        <w:t>, ez a 7.2.1 jogcímbe tartozik</w:t>
      </w:r>
      <w:r w:rsidRPr="00262BF5">
        <w:rPr>
          <w:rFonts w:ascii="Times New Roman" w:hAnsi="Times New Roman" w:cs="Times New Roman"/>
          <w:sz w:val="24"/>
          <w:szCs w:val="24"/>
        </w:rPr>
        <w:t>, azonban a kiírás megjelenéséig nem kizárható) a megnevezés a helytálló, abban az esetben valóban lehetőség lesz településképet meghatározó épületek külső felújítására</w:t>
      </w:r>
      <w:r w:rsidR="00DB4656" w:rsidRPr="00262BF5">
        <w:rPr>
          <w:rFonts w:ascii="Times New Roman" w:hAnsi="Times New Roman" w:cs="Times New Roman"/>
          <w:sz w:val="24"/>
          <w:szCs w:val="24"/>
        </w:rPr>
        <w:t xml:space="preserve">, illetve energetikai korszerűsítésére is. Ez esetben a járás besorolásától függően az </w:t>
      </w:r>
      <w:r w:rsidR="00DB4656" w:rsidRPr="00262BF5">
        <w:rPr>
          <w:rFonts w:ascii="Times New Roman" w:hAnsi="Times New Roman" w:cs="Times New Roman"/>
          <w:sz w:val="24"/>
          <w:szCs w:val="24"/>
        </w:rPr>
        <w:lastRenderedPageBreak/>
        <w:t>elszámolható költségek 75-95%-ára lehet majd pályázni legfeljebb 160 000 Euró, vagyis megközelítőleg 45-50 millió Ft összeg keretéig. Fontos tudni, hogy az elszámolható költségeken felül várható még 5-10%-nak megfelelő felmerülő, de nem elszámolható kiadás, így a támogatási aránytól függően 10-35% önerővel szükséges számolni.</w:t>
      </w:r>
    </w:p>
    <w:p w:rsidR="00DB4656" w:rsidRPr="00262BF5" w:rsidRDefault="00DB4656" w:rsidP="00235E2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DB4656" w:rsidRPr="00262BF5" w:rsidRDefault="00DB4656" w:rsidP="00DB465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5">
        <w:rPr>
          <w:rFonts w:ascii="Times New Roman" w:hAnsi="Times New Roman" w:cs="Times New Roman"/>
          <w:sz w:val="24"/>
          <w:szCs w:val="24"/>
        </w:rPr>
        <w:t>VP6-7.4.1-16: Jármű- és eszközbeszerzés: köz- és vagyonbiztonságot szolgáló fejlesztések, falu- és tanyagondnoki szolgálat fejlesztése jármű- és eszközbeszerzéssel</w:t>
      </w:r>
      <w:r w:rsidR="002D5C79" w:rsidRPr="00262BF5">
        <w:rPr>
          <w:rFonts w:ascii="Times New Roman" w:hAnsi="Times New Roman" w:cs="Times New Roman"/>
          <w:sz w:val="24"/>
          <w:szCs w:val="24"/>
        </w:rPr>
        <w:t>. A határozat szerint májustól lesz elérhető.</w:t>
      </w:r>
    </w:p>
    <w:p w:rsidR="00DB4656" w:rsidRPr="00262BF5" w:rsidRDefault="00DB4656" w:rsidP="00DB4656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656" w:rsidRPr="00262BF5" w:rsidRDefault="00DB4656" w:rsidP="00DB4656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5">
        <w:rPr>
          <w:rFonts w:ascii="Times New Roman" w:hAnsi="Times New Roman" w:cs="Times New Roman"/>
          <w:sz w:val="24"/>
          <w:szCs w:val="24"/>
        </w:rPr>
        <w:t>Ez a tavaly nagyon néps</w:t>
      </w:r>
      <w:r w:rsidR="002D5C79" w:rsidRPr="00262BF5">
        <w:rPr>
          <w:rFonts w:ascii="Times New Roman" w:hAnsi="Times New Roman" w:cs="Times New Roman"/>
          <w:sz w:val="24"/>
          <w:szCs w:val="24"/>
        </w:rPr>
        <w:t>z</w:t>
      </w:r>
      <w:r w:rsidRPr="00262BF5">
        <w:rPr>
          <w:rFonts w:ascii="Times New Roman" w:hAnsi="Times New Roman" w:cs="Times New Roman"/>
          <w:sz w:val="24"/>
          <w:szCs w:val="24"/>
        </w:rPr>
        <w:t>erűvé vált jogcím folytatása, mely során gyülekezeti terepjárók és kisbuszok beszerzésére volt lehetőség. A kiírásig a tartalom azonban itt sem teljesen tisztázott.</w:t>
      </w:r>
    </w:p>
    <w:p w:rsidR="00DB4656" w:rsidRPr="00262BF5" w:rsidRDefault="00DB4656" w:rsidP="00DB4656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656" w:rsidRPr="00262BF5" w:rsidRDefault="00DB4656" w:rsidP="00DB4656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5">
        <w:rPr>
          <w:rFonts w:ascii="Times New Roman" w:hAnsi="Times New Roman" w:cs="Times New Roman"/>
          <w:sz w:val="24"/>
          <w:szCs w:val="24"/>
        </w:rPr>
        <w:t xml:space="preserve">Korábban (2015 előtt) egyházként csak átvállalt közfeladat esetén lehetett pályázni </w:t>
      </w:r>
      <w:r w:rsidR="002D5C79" w:rsidRPr="00262BF5">
        <w:rPr>
          <w:rFonts w:ascii="Times New Roman" w:hAnsi="Times New Roman" w:cs="Times New Roman"/>
          <w:sz w:val="24"/>
          <w:szCs w:val="24"/>
        </w:rPr>
        <w:t>például tanyagondnoki, vagy szociális közétkeztetéshez tartozó kisbuszra.</w:t>
      </w:r>
    </w:p>
    <w:p w:rsidR="002D5C79" w:rsidRPr="00262BF5" w:rsidRDefault="002D5C79" w:rsidP="00DB4656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C79" w:rsidRPr="00262BF5" w:rsidRDefault="002D5C79" w:rsidP="00DB4656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5">
        <w:rPr>
          <w:rFonts w:ascii="Times New Roman" w:hAnsi="Times New Roman" w:cs="Times New Roman"/>
          <w:sz w:val="24"/>
          <w:szCs w:val="24"/>
        </w:rPr>
        <w:t xml:space="preserve">Ami várható, az </w:t>
      </w:r>
      <w:proofErr w:type="spellStart"/>
      <w:r w:rsidRPr="00262BF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262BF5">
        <w:rPr>
          <w:rFonts w:ascii="Times New Roman" w:hAnsi="Times New Roman" w:cs="Times New Roman"/>
          <w:sz w:val="24"/>
          <w:szCs w:val="24"/>
        </w:rPr>
        <w:t>, hogy a közétkeztetés más jogcímbe került, így ahhoz kapcsolódó járműbeszerzésre várhatóan nem ennek a jogcímnek a keretében lehet majd pályázni.</w:t>
      </w:r>
    </w:p>
    <w:p w:rsidR="002D5C79" w:rsidRPr="00262BF5" w:rsidRDefault="002D5C79" w:rsidP="00DB4656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C79" w:rsidRPr="00262BF5" w:rsidRDefault="002D5C79" w:rsidP="00DB4656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5">
        <w:rPr>
          <w:rFonts w:ascii="Times New Roman" w:hAnsi="Times New Roman" w:cs="Times New Roman"/>
          <w:sz w:val="24"/>
          <w:szCs w:val="24"/>
        </w:rPr>
        <w:t>Tavaly (még a 2007-13-as időszak programja alapján) egyéb közösségi célra is lehetett pályázni, ebbe fért bele a gyülekezeti cél is. Az a kiírásból fog kiderülni, hogy az egyéb kategória továbbra is elérhető lesz-e.</w:t>
      </w:r>
    </w:p>
    <w:p w:rsidR="002D5C79" w:rsidRPr="00262BF5" w:rsidRDefault="002D5C79" w:rsidP="00DB4656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C79" w:rsidRPr="00262BF5" w:rsidRDefault="002D5C79" w:rsidP="00DB4656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5">
        <w:rPr>
          <w:rFonts w:ascii="Times New Roman" w:hAnsi="Times New Roman" w:cs="Times New Roman"/>
          <w:sz w:val="24"/>
          <w:szCs w:val="24"/>
        </w:rPr>
        <w:t>A támogatási arány itt is 75-95%, itt azonban egyszerűbb a beruházás, így várhatóan csak 1-2%-nak megfelelő nem elszámolható költségre kell számítani, így 6-27% önerő elegendő térségtől függően.</w:t>
      </w:r>
    </w:p>
    <w:p w:rsidR="002D5C79" w:rsidRPr="00262BF5" w:rsidRDefault="002D5C79" w:rsidP="002D5C79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C79" w:rsidRPr="00262BF5" w:rsidRDefault="002D5C79" w:rsidP="002D5C7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5">
        <w:rPr>
          <w:rFonts w:ascii="Times New Roman" w:hAnsi="Times New Roman" w:cs="Times New Roman"/>
          <w:sz w:val="24"/>
          <w:szCs w:val="24"/>
        </w:rPr>
        <w:t>VP6-19.2.1-16: LEADER – Helyi fejlesztési stratégiák megvalósítása, várhatóan áprilistól.</w:t>
      </w:r>
    </w:p>
    <w:p w:rsidR="002D5C79" w:rsidRPr="00262BF5" w:rsidRDefault="002D5C79" w:rsidP="002D5C79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C79" w:rsidRPr="00262BF5" w:rsidRDefault="002D5C79" w:rsidP="002D5C79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5">
        <w:rPr>
          <w:rFonts w:ascii="Times New Roman" w:hAnsi="Times New Roman" w:cs="Times New Roman"/>
          <w:sz w:val="24"/>
          <w:szCs w:val="24"/>
        </w:rPr>
        <w:t>Ez a jogcím az egyéb kategória. Elvileg itt 100% is lehet a támogatás, ez gépbeszerzésnél 1-2%, építésnél 5-10% önerőt igényel. Azonban, arra tekintettel, hogy nem nagy a keret, több LEADER</w:t>
      </w:r>
      <w:r w:rsidR="009953B1" w:rsidRPr="00262BF5">
        <w:rPr>
          <w:rFonts w:ascii="Times New Roman" w:hAnsi="Times New Roman" w:cs="Times New Roman"/>
          <w:sz w:val="24"/>
          <w:szCs w:val="24"/>
        </w:rPr>
        <w:t xml:space="preserve"> csoport is úgy tervezi, hogy amit lehet, a másik jogcímekben oldjanak meg, így ennél sem adnak nagyobb támogatást a járásnak általában járó 75-95%-nál.</w:t>
      </w:r>
    </w:p>
    <w:p w:rsidR="009953B1" w:rsidRPr="00262BF5" w:rsidRDefault="009953B1" w:rsidP="002D5C79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3B1" w:rsidRPr="00262BF5" w:rsidRDefault="009953B1" w:rsidP="002D5C79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5">
        <w:rPr>
          <w:rFonts w:ascii="Times New Roman" w:hAnsi="Times New Roman" w:cs="Times New Roman"/>
          <w:sz w:val="24"/>
          <w:szCs w:val="24"/>
        </w:rPr>
        <w:t>Arról, hogy milyen támogatási arányt, illetve milyen fejlesztési célokat kívánnak kialakítani, az illetékes LEADER Helyi Akciócsoportnál tudnak érdeklődni.</w:t>
      </w:r>
    </w:p>
    <w:p w:rsidR="009953B1" w:rsidRPr="00262BF5" w:rsidRDefault="009953B1" w:rsidP="002D5C79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3B1" w:rsidRPr="00262BF5" w:rsidRDefault="009953B1" w:rsidP="009953B1">
      <w:pPr>
        <w:rPr>
          <w:rFonts w:ascii="Times New Roman" w:hAnsi="Times New Roman" w:cs="Times New Roman"/>
          <w:sz w:val="24"/>
          <w:szCs w:val="24"/>
        </w:rPr>
      </w:pPr>
      <w:r w:rsidRPr="00262BF5">
        <w:rPr>
          <w:rFonts w:ascii="Times New Roman" w:hAnsi="Times New Roman" w:cs="Times New Roman"/>
          <w:sz w:val="24"/>
          <w:szCs w:val="24"/>
        </w:rPr>
        <w:t>Kaposvár, 2016. január 22.</w:t>
      </w:r>
    </w:p>
    <w:p w:rsidR="009953B1" w:rsidRPr="00262BF5" w:rsidRDefault="009953B1" w:rsidP="009953B1">
      <w:pPr>
        <w:jc w:val="right"/>
        <w:rPr>
          <w:rFonts w:ascii="Times New Roman" w:hAnsi="Times New Roman" w:cs="Times New Roman"/>
          <w:sz w:val="24"/>
          <w:szCs w:val="24"/>
        </w:rPr>
      </w:pPr>
      <w:r w:rsidRPr="00262BF5">
        <w:rPr>
          <w:rFonts w:ascii="Times New Roman" w:hAnsi="Times New Roman" w:cs="Times New Roman"/>
          <w:sz w:val="24"/>
          <w:szCs w:val="24"/>
        </w:rPr>
        <w:t>Készítette:</w:t>
      </w:r>
    </w:p>
    <w:p w:rsidR="009953B1" w:rsidRPr="00262BF5" w:rsidRDefault="009953B1" w:rsidP="009953B1">
      <w:pPr>
        <w:jc w:val="right"/>
        <w:rPr>
          <w:rFonts w:ascii="Times New Roman" w:hAnsi="Times New Roman" w:cs="Times New Roman"/>
          <w:sz w:val="24"/>
          <w:szCs w:val="24"/>
        </w:rPr>
      </w:pPr>
      <w:r w:rsidRPr="00262BF5">
        <w:rPr>
          <w:rFonts w:ascii="Times New Roman" w:hAnsi="Times New Roman" w:cs="Times New Roman"/>
          <w:sz w:val="24"/>
          <w:szCs w:val="24"/>
        </w:rPr>
        <w:t>Egyházi Pályázatok Kft.</w:t>
      </w:r>
      <w:r w:rsidRPr="00262BF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62BF5">
        <w:rPr>
          <w:rFonts w:ascii="Times New Roman" w:hAnsi="Times New Roman" w:cs="Times New Roman"/>
          <w:sz w:val="24"/>
          <w:szCs w:val="24"/>
        </w:rPr>
        <w:t>Pahocsa</w:t>
      </w:r>
      <w:proofErr w:type="spellEnd"/>
      <w:r w:rsidRPr="00262BF5">
        <w:rPr>
          <w:rFonts w:ascii="Times New Roman" w:hAnsi="Times New Roman" w:cs="Times New Roman"/>
          <w:sz w:val="24"/>
          <w:szCs w:val="24"/>
        </w:rPr>
        <w:t xml:space="preserve"> Dániel</w:t>
      </w:r>
      <w:r w:rsidRPr="00262BF5">
        <w:rPr>
          <w:rFonts w:ascii="Times New Roman" w:hAnsi="Times New Roman" w:cs="Times New Roman"/>
          <w:sz w:val="24"/>
          <w:szCs w:val="24"/>
        </w:rPr>
        <w:br/>
        <w:t>pályázati referens</w:t>
      </w:r>
      <w:r w:rsidRPr="00262BF5">
        <w:rPr>
          <w:rFonts w:ascii="Times New Roman" w:hAnsi="Times New Roman" w:cs="Times New Roman"/>
          <w:sz w:val="24"/>
          <w:szCs w:val="24"/>
        </w:rPr>
        <w:br/>
        <w:t>a Dunántúli Református Egyházkerület részére,</w:t>
      </w:r>
      <w:r w:rsidRPr="00262BF5">
        <w:rPr>
          <w:rFonts w:ascii="Times New Roman" w:hAnsi="Times New Roman" w:cs="Times New Roman"/>
          <w:sz w:val="24"/>
          <w:szCs w:val="24"/>
        </w:rPr>
        <w:br/>
        <w:t>területén található egyházmegyék és egyházközségek tájékoztatására</w:t>
      </w:r>
    </w:p>
    <w:p w:rsidR="009953B1" w:rsidRPr="00262BF5" w:rsidRDefault="009953B1" w:rsidP="009953B1">
      <w:pPr>
        <w:rPr>
          <w:rFonts w:ascii="Times New Roman" w:hAnsi="Times New Roman" w:cs="Times New Roman"/>
          <w:sz w:val="24"/>
          <w:szCs w:val="24"/>
        </w:rPr>
      </w:pPr>
      <w:r w:rsidRPr="00262BF5">
        <w:rPr>
          <w:rFonts w:ascii="Times New Roman" w:hAnsi="Times New Roman" w:cs="Times New Roman"/>
          <w:sz w:val="24"/>
          <w:szCs w:val="24"/>
        </w:rPr>
        <w:lastRenderedPageBreak/>
        <w:t>Források:</w:t>
      </w:r>
    </w:p>
    <w:p w:rsidR="009953B1" w:rsidRPr="00262BF5" w:rsidRDefault="009953B1" w:rsidP="002D5C79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5">
        <w:rPr>
          <w:rFonts w:ascii="Times New Roman" w:hAnsi="Times New Roman" w:cs="Times New Roman"/>
          <w:sz w:val="24"/>
          <w:szCs w:val="24"/>
        </w:rPr>
        <w:t>A korábbi tájékoztatóban szereplőkön túl!</w:t>
      </w:r>
    </w:p>
    <w:p w:rsidR="009953B1" w:rsidRPr="00262BF5" w:rsidRDefault="009953B1" w:rsidP="002D5C79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3B1" w:rsidRPr="00262BF5" w:rsidRDefault="009953B1" w:rsidP="009953B1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5">
        <w:rPr>
          <w:rFonts w:ascii="Times New Roman" w:hAnsi="Times New Roman" w:cs="Times New Roman"/>
          <w:sz w:val="24"/>
          <w:szCs w:val="24"/>
        </w:rPr>
        <w:t xml:space="preserve">A Kormány 1012/2016. (I. 20.) Korm. határozata a Vidékfejlesztési Program éves fejlesztési keretének megállapításáról: </w:t>
      </w:r>
      <w:hyperlink r:id="rId5" w:history="1">
        <w:r w:rsidRPr="00262BF5">
          <w:rPr>
            <w:rStyle w:val="Hiperhivatkozs"/>
            <w:rFonts w:ascii="Times New Roman" w:hAnsi="Times New Roman" w:cs="Times New Roman"/>
            <w:sz w:val="24"/>
            <w:szCs w:val="24"/>
          </w:rPr>
          <w:t>http://njt.hu/cgi_bin/njt_doc.cgi?docid=193705.318247</w:t>
        </w:r>
      </w:hyperlink>
    </w:p>
    <w:p w:rsidR="009953B1" w:rsidRPr="00262BF5" w:rsidRDefault="009953B1" w:rsidP="009953B1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62BF5">
        <w:rPr>
          <w:rFonts w:ascii="Times New Roman" w:hAnsi="Times New Roman" w:cs="Times New Roman"/>
          <w:sz w:val="24"/>
          <w:szCs w:val="24"/>
        </w:rPr>
        <w:t>Koppányvölgyi</w:t>
      </w:r>
      <w:proofErr w:type="spellEnd"/>
      <w:r w:rsidRPr="00262BF5">
        <w:rPr>
          <w:rFonts w:ascii="Times New Roman" w:hAnsi="Times New Roman" w:cs="Times New Roman"/>
          <w:sz w:val="24"/>
          <w:szCs w:val="24"/>
        </w:rPr>
        <w:t xml:space="preserve"> Vidékfejlesztési Közhasznú Egyesület projektötletek gyűjtéséhez kiadott adatlapja </w:t>
      </w:r>
      <w:hyperlink r:id="rId6" w:history="1">
        <w:r w:rsidRPr="00262BF5">
          <w:rPr>
            <w:rStyle w:val="Hiperhivatkozs"/>
            <w:rFonts w:ascii="Times New Roman" w:hAnsi="Times New Roman" w:cs="Times New Roman"/>
            <w:sz w:val="24"/>
            <w:szCs w:val="24"/>
          </w:rPr>
          <w:t>http://www.kvke.hu/files/Projekt%20adatlap%20Kopp%C3%A1nyv%C3%B6lgye%202015.doc</w:t>
        </w:r>
      </w:hyperlink>
    </w:p>
    <w:p w:rsidR="009953B1" w:rsidRPr="009953B1" w:rsidRDefault="009953B1" w:rsidP="009953B1">
      <w:pPr>
        <w:pStyle w:val="Listaszerbekezds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sz w:val="18"/>
          <w:szCs w:val="18"/>
        </w:rPr>
      </w:pPr>
    </w:p>
    <w:sectPr w:rsidR="009953B1" w:rsidRPr="009953B1" w:rsidSect="00193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452"/>
    <w:multiLevelType w:val="hybridMultilevel"/>
    <w:tmpl w:val="8612BF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12F63"/>
    <w:multiLevelType w:val="hybridMultilevel"/>
    <w:tmpl w:val="AC50EFEC"/>
    <w:lvl w:ilvl="0" w:tplc="785CE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6748A9"/>
    <w:multiLevelType w:val="hybridMultilevel"/>
    <w:tmpl w:val="8612BF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61EF6"/>
    <w:multiLevelType w:val="hybridMultilevel"/>
    <w:tmpl w:val="8612BF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14239"/>
    <w:multiLevelType w:val="hybridMultilevel"/>
    <w:tmpl w:val="8612BF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3761"/>
    <w:rsid w:val="00193B38"/>
    <w:rsid w:val="00235E28"/>
    <w:rsid w:val="00262BF5"/>
    <w:rsid w:val="002D5C79"/>
    <w:rsid w:val="004E5A27"/>
    <w:rsid w:val="007C3761"/>
    <w:rsid w:val="009953B1"/>
    <w:rsid w:val="00BB779B"/>
    <w:rsid w:val="00DB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3B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C376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953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vke.hu/files/Projekt%20adatlap%20Kopp%C3%A1nyv%C3%B6lgye%202015.doc" TargetMode="External"/><Relationship Id="rId5" Type="http://schemas.openxmlformats.org/officeDocument/2006/relationships/hyperlink" Target="http://njt.hu/cgi_bin/njt_doc.cgi?docid=193705.3182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649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2016-01-22T07:04:00Z</dcterms:created>
  <dcterms:modified xsi:type="dcterms:W3CDTF">2016-01-22T08:25:00Z</dcterms:modified>
</cp:coreProperties>
</file>